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Алтайский край, Кулундинский район 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49E2E2A0">
      <w:pPr>
        <w:pStyle w:val="13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Соболь Виталия Ивановича </w:t>
      </w:r>
      <w:r>
        <w:rPr>
          <w:rFonts w:hint="default" w:ascii="Times New Roman" w:hAnsi="Times New Roman" w:cs="Times New Roman"/>
          <w:sz w:val="24"/>
          <w:szCs w:val="24"/>
        </w:rPr>
        <w:t>(20.06.1980 г.р., место рождения и регистрации р.п. Кулунда Кулундинского района Алтайского края (ИНН 225300507582, СНИЛС 081-646-936-89)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Алтайского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11108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95B9E35">
      <w:pPr>
        <w:pStyle w:val="13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t xml:space="preserve">1.1 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sz w:val="24"/>
          <w:szCs w:val="24"/>
        </w:rPr>
        <w:t>1/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доля</w:t>
      </w:r>
      <w:r>
        <w:rPr>
          <w:rFonts w:hint="default"/>
          <w:sz w:val="24"/>
          <w:szCs w:val="24"/>
          <w:lang w:val="ru-RU"/>
        </w:rPr>
        <w:t xml:space="preserve"> земельного участка, находящегося по адресу: Алтайский край, район Кулундинский, с. Кулунда, ул. Родина, д. 25. Площадь: 1485 +/- 8 кв.м. Вид разрешенного использования: жилое. Кадастровый номер: 22:23:050001:656 с расположенной на ней 1/4 долей жилого здания, находящегося по адресу: Алтайский край, р-н. Кулундинский, с. Кулунда, ул. Родина, д. 25. Площадь: 34, 2 кв.м. Кадастровый номер: 22:23:050001:2525. В имуществе имеются детские доли.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Соболь Виталий Иванович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40817810750191771979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7250CA1"/>
    <w:rsid w:val="105C7004"/>
    <w:rsid w:val="180776A0"/>
    <w:rsid w:val="4F646C1D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2025-05-05T02:48:50Z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3E9606FF972A4F409894576338163B2E_12</vt:lpwstr>
  </property>
</Properties>
</file>